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E6B" w:rsidRDefault="00297E6B">
      <w:bookmarkStart w:id="0" w:name="_GoBack"/>
      <w:bookmarkEnd w:id="0"/>
    </w:p>
    <w:p w:rsidR="00554CA9" w:rsidRPr="00484756" w:rsidRDefault="00B123FB" w:rsidP="00A74449">
      <w:pPr>
        <w:jc w:val="center"/>
      </w:pPr>
      <w:r>
        <w:rPr>
          <w:noProof/>
          <w:lang w:val="en-CA"/>
        </w:rPr>
        <w:drawing>
          <wp:inline distT="0" distB="0" distL="0" distR="0">
            <wp:extent cx="581025" cy="638175"/>
            <wp:effectExtent l="19050" t="0" r="9525" b="0"/>
            <wp:docPr id="1" name="Picture 1" descr="Crest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Black and White"/>
                    <pic:cNvPicPr>
                      <a:picLocks noChangeAspect="1" noChangeArrowheads="1"/>
                    </pic:cNvPicPr>
                  </pic:nvPicPr>
                  <pic:blipFill>
                    <a:blip r:embed="rId6" cstate="print"/>
                    <a:srcRect/>
                    <a:stretch>
                      <a:fillRect/>
                    </a:stretch>
                  </pic:blipFill>
                  <pic:spPr bwMode="auto">
                    <a:xfrm>
                      <a:off x="0" y="0"/>
                      <a:ext cx="581025" cy="638175"/>
                    </a:xfrm>
                    <a:prstGeom prst="rect">
                      <a:avLst/>
                    </a:prstGeom>
                    <a:noFill/>
                    <a:ln w="9525">
                      <a:noFill/>
                      <a:miter lim="800000"/>
                      <a:headEnd/>
                      <a:tailEnd/>
                    </a:ln>
                  </pic:spPr>
                </pic:pic>
              </a:graphicData>
            </a:graphic>
          </wp:inline>
        </w:drawing>
      </w:r>
    </w:p>
    <w:p w:rsidR="00554CA9" w:rsidRPr="007B21C0" w:rsidRDefault="00554CA9" w:rsidP="007B21C0">
      <w:pPr>
        <w:jc w:val="center"/>
        <w:rPr>
          <w:b/>
          <w:sz w:val="28"/>
          <w:szCs w:val="28"/>
        </w:rPr>
      </w:pPr>
      <w:r w:rsidRPr="007B21C0">
        <w:rPr>
          <w:b/>
          <w:sz w:val="28"/>
          <w:szCs w:val="28"/>
        </w:rPr>
        <w:t>THE CORPORATION OF THE TOWN OF</w:t>
      </w:r>
      <w:r w:rsidR="007B21C0" w:rsidRPr="007B21C0">
        <w:rPr>
          <w:b/>
          <w:sz w:val="28"/>
          <w:szCs w:val="28"/>
        </w:rPr>
        <w:t xml:space="preserve"> </w:t>
      </w:r>
      <w:r w:rsidRPr="007B21C0">
        <w:rPr>
          <w:b/>
          <w:sz w:val="28"/>
          <w:szCs w:val="28"/>
        </w:rPr>
        <w:t>PENETANGUISHENE</w:t>
      </w:r>
    </w:p>
    <w:p w:rsidR="00554CA9" w:rsidRDefault="00554CA9" w:rsidP="007B21C0">
      <w:pPr>
        <w:jc w:val="center"/>
        <w:rPr>
          <w:b/>
          <w:szCs w:val="24"/>
        </w:rPr>
      </w:pPr>
    </w:p>
    <w:p w:rsidR="007B21C0" w:rsidRPr="007B21C0" w:rsidRDefault="007B21C0" w:rsidP="007B21C0">
      <w:pPr>
        <w:jc w:val="center"/>
        <w:rPr>
          <w:b/>
          <w:szCs w:val="24"/>
        </w:rPr>
      </w:pPr>
    </w:p>
    <w:p w:rsidR="00554CA9" w:rsidRPr="007B21C0" w:rsidRDefault="005F10D7" w:rsidP="007B21C0">
      <w:pPr>
        <w:jc w:val="center"/>
        <w:rPr>
          <w:b/>
          <w:szCs w:val="24"/>
        </w:rPr>
      </w:pPr>
      <w:r>
        <w:rPr>
          <w:b/>
          <w:szCs w:val="24"/>
        </w:rPr>
        <w:t>BY-LAW NUMBER 2011-87</w:t>
      </w:r>
    </w:p>
    <w:p w:rsidR="003A7B40" w:rsidRPr="007B21C0" w:rsidRDefault="003A7B40" w:rsidP="007B21C0">
      <w:pPr>
        <w:jc w:val="center"/>
        <w:rPr>
          <w:b/>
          <w:szCs w:val="24"/>
        </w:rPr>
      </w:pPr>
    </w:p>
    <w:p w:rsidR="005F10D7" w:rsidRPr="00880BC7" w:rsidRDefault="00B123FB" w:rsidP="005F10D7">
      <w:pPr>
        <w:jc w:val="center"/>
        <w:rPr>
          <w:rFonts w:cs="Arial"/>
          <w:b/>
          <w:szCs w:val="24"/>
        </w:rPr>
      </w:pPr>
      <w:r>
        <w:rPr>
          <w:b/>
          <w:szCs w:val="24"/>
        </w:rPr>
        <w:t xml:space="preserve">Being a By-law to </w:t>
      </w:r>
      <w:r w:rsidR="005F10D7">
        <w:rPr>
          <w:rFonts w:cs="Arial"/>
          <w:b/>
          <w:szCs w:val="24"/>
        </w:rPr>
        <w:t xml:space="preserve">Designate the Property Known Municipally as 12 Water Street under </w:t>
      </w:r>
      <w:r w:rsidR="005F10D7" w:rsidRPr="00880BC7">
        <w:rPr>
          <w:rFonts w:cs="Arial"/>
          <w:b/>
          <w:szCs w:val="24"/>
        </w:rPr>
        <w:t xml:space="preserve">the Ontario Heritage Act as Being of </w:t>
      </w:r>
      <w:r w:rsidR="00880BC7" w:rsidRPr="00880BC7">
        <w:rPr>
          <w:b/>
          <w:szCs w:val="24"/>
        </w:rPr>
        <w:t>Cultural Heritage Value and Interest</w:t>
      </w:r>
    </w:p>
    <w:p w:rsidR="00B123FB" w:rsidRDefault="00B123FB" w:rsidP="00B123FB">
      <w:pPr>
        <w:ind w:left="1200" w:right="1330"/>
        <w:jc w:val="center"/>
        <w:rPr>
          <w:szCs w:val="24"/>
        </w:rPr>
      </w:pPr>
    </w:p>
    <w:p w:rsidR="00670B9A" w:rsidRPr="007B21C0" w:rsidRDefault="00670B9A" w:rsidP="00B123FB">
      <w:pPr>
        <w:ind w:left="1200" w:right="1330"/>
        <w:jc w:val="center"/>
        <w:rPr>
          <w:szCs w:val="24"/>
        </w:rPr>
      </w:pPr>
    </w:p>
    <w:p w:rsidR="001D5DD5" w:rsidRDefault="001D5DD5" w:rsidP="001D5DD5">
      <w:pPr>
        <w:jc w:val="both"/>
        <w:rPr>
          <w:rFonts w:cs="Arial"/>
          <w:szCs w:val="24"/>
        </w:rPr>
      </w:pPr>
      <w:r>
        <w:rPr>
          <w:rStyle w:val="Strong"/>
          <w:rFonts w:cs="Arial"/>
          <w:color w:val="000000"/>
          <w:szCs w:val="24"/>
        </w:rPr>
        <w:t>WHEREAS</w:t>
      </w:r>
      <w:r>
        <w:rPr>
          <w:rStyle w:val="Strong"/>
          <w:rFonts w:cs="Arial"/>
          <w:b w:val="0"/>
          <w:color w:val="000000"/>
          <w:szCs w:val="24"/>
        </w:rPr>
        <w:t xml:space="preserve"> pursuant to section 9 of the Municipal Act, 2001 </w:t>
      </w:r>
      <w:r>
        <w:rPr>
          <w:rFonts w:cs="Arial"/>
          <w:szCs w:val="24"/>
        </w:rPr>
        <w:t>S.O. 2001, chapter 25 a municipality has the capacity, rights, powers and privileges of a natural person for the purpose of exercising its authority under this or any other Act;</w:t>
      </w:r>
    </w:p>
    <w:p w:rsidR="001D5DD5" w:rsidRDefault="001D5DD5" w:rsidP="001D5DD5">
      <w:pPr>
        <w:jc w:val="both"/>
        <w:rPr>
          <w:rFonts w:cs="Arial"/>
          <w:szCs w:val="24"/>
        </w:rPr>
      </w:pPr>
    </w:p>
    <w:p w:rsidR="001D5DD5" w:rsidRDefault="001D5DD5" w:rsidP="001D5DD5">
      <w:pPr>
        <w:jc w:val="both"/>
        <w:rPr>
          <w:rFonts w:cs="Arial"/>
          <w:szCs w:val="24"/>
        </w:rPr>
      </w:pPr>
      <w:r>
        <w:rPr>
          <w:rFonts w:cs="Arial"/>
          <w:b/>
          <w:szCs w:val="24"/>
        </w:rPr>
        <w:t>AND WHEREAS</w:t>
      </w:r>
      <w:r>
        <w:rPr>
          <w:rFonts w:cs="Arial"/>
          <w:szCs w:val="24"/>
        </w:rPr>
        <w:t xml:space="preserve"> pursuant to section 8. (1) of the </w:t>
      </w:r>
      <w:r>
        <w:rPr>
          <w:rStyle w:val="Strong"/>
          <w:rFonts w:cs="Arial"/>
          <w:b w:val="0"/>
          <w:color w:val="000000"/>
          <w:szCs w:val="24"/>
        </w:rPr>
        <w:t xml:space="preserve">Municipal Act, 2001 </w:t>
      </w:r>
      <w:r>
        <w:rPr>
          <w:rFonts w:cs="Arial"/>
          <w:szCs w:val="24"/>
        </w:rPr>
        <w:t>S.O. 2001, chapter 25 the powers of a municipality under this or any other Act shall be interpreted broadly so as to confer broad authority on the  municipality to enable the municipality to govern its affairs as it considers appropriate to enhance the municipality’s ability to respond to municipal issues;</w:t>
      </w:r>
    </w:p>
    <w:p w:rsidR="00324784" w:rsidRDefault="00324784" w:rsidP="001D5DD5">
      <w:pPr>
        <w:jc w:val="both"/>
        <w:rPr>
          <w:rFonts w:cs="Arial"/>
          <w:szCs w:val="24"/>
        </w:rPr>
      </w:pPr>
    </w:p>
    <w:p w:rsidR="0059347F" w:rsidRDefault="0059347F" w:rsidP="0059347F">
      <w:pPr>
        <w:jc w:val="both"/>
      </w:pPr>
      <w:r w:rsidRPr="0059347F">
        <w:rPr>
          <w:b/>
        </w:rPr>
        <w:t xml:space="preserve">AND WHEREAS </w:t>
      </w:r>
      <w:r>
        <w:t>pursuant to section 29 of the Ontario Heritage Act R.S.O. 1990, CHAPTER O.18, the Council of a municipality may, by By-law, designate a property within the municipality to be of cultural heritage value or interest where criteria for determining whether property is of cultural heritage value or interest have been prescribed by regulation, the property meets the prescribed criteria; and the designation is made in accordance with the process set out in this section.</w:t>
      </w:r>
    </w:p>
    <w:p w:rsidR="0059347F" w:rsidRDefault="0059347F" w:rsidP="0059347F">
      <w:pPr>
        <w:jc w:val="both"/>
      </w:pPr>
    </w:p>
    <w:p w:rsidR="0059347F" w:rsidRDefault="0059347F" w:rsidP="0059347F">
      <w:pPr>
        <w:jc w:val="both"/>
      </w:pPr>
      <w:r w:rsidRPr="00880BC7">
        <w:rPr>
          <w:b/>
        </w:rPr>
        <w:t>AND WHEREAS</w:t>
      </w:r>
      <w:r>
        <w:t xml:space="preserve"> notice was given of the intention to designate the property municipally known as 12 Water Street, Penetanguishene by the Clerk of the Town of Penetanguishene in accordance with section 29 of the Ontario Heritage Act R.S.O. 1990, CHAPTER O.18 subsection (3);</w:t>
      </w:r>
    </w:p>
    <w:p w:rsidR="0059347F" w:rsidRDefault="0059347F" w:rsidP="0059347F">
      <w:pPr>
        <w:jc w:val="both"/>
      </w:pPr>
    </w:p>
    <w:p w:rsidR="00880BC7" w:rsidRDefault="0059347F" w:rsidP="00880BC7">
      <w:pPr>
        <w:jc w:val="both"/>
      </w:pPr>
      <w:r w:rsidRPr="00880BC7">
        <w:rPr>
          <w:b/>
        </w:rPr>
        <w:t>AND WHER</w:t>
      </w:r>
      <w:r w:rsidR="00880BC7" w:rsidRPr="00880BC7">
        <w:rPr>
          <w:b/>
        </w:rPr>
        <w:t>E</w:t>
      </w:r>
      <w:r w:rsidRPr="00880BC7">
        <w:rPr>
          <w:b/>
        </w:rPr>
        <w:t>AS</w:t>
      </w:r>
      <w:r>
        <w:t xml:space="preserve"> no objections to the intention to designate </w:t>
      </w:r>
      <w:r w:rsidR="00880BC7">
        <w:t>said</w:t>
      </w:r>
      <w:r>
        <w:t xml:space="preserve"> property </w:t>
      </w:r>
      <w:r w:rsidR="00880BC7">
        <w:t>were received in accordance with section 29 of the Ontario Heritage Act R.S.O. 1990, CHAPTER O.18 subsection (6);</w:t>
      </w:r>
    </w:p>
    <w:p w:rsidR="007055DB" w:rsidRPr="0059347F" w:rsidRDefault="007055DB" w:rsidP="007B21C0">
      <w:pPr>
        <w:jc w:val="both"/>
        <w:rPr>
          <w:szCs w:val="24"/>
        </w:rPr>
      </w:pPr>
    </w:p>
    <w:p w:rsidR="007055DB" w:rsidRPr="007B21C0" w:rsidRDefault="007055DB" w:rsidP="007B21C0">
      <w:pPr>
        <w:jc w:val="both"/>
        <w:rPr>
          <w:szCs w:val="24"/>
        </w:rPr>
      </w:pPr>
      <w:r w:rsidRPr="007B21C0">
        <w:rPr>
          <w:b/>
          <w:szCs w:val="24"/>
        </w:rPr>
        <w:t>NOW THEREFORE</w:t>
      </w:r>
      <w:r w:rsidRPr="007B21C0">
        <w:rPr>
          <w:szCs w:val="24"/>
        </w:rPr>
        <w:t xml:space="preserve"> be it enacted a</w:t>
      </w:r>
      <w:r w:rsidR="000C4A76">
        <w:rPr>
          <w:szCs w:val="24"/>
        </w:rPr>
        <w:t>nd it is hereby enacted by the Council of T</w:t>
      </w:r>
      <w:r w:rsidRPr="007B21C0">
        <w:rPr>
          <w:szCs w:val="24"/>
        </w:rPr>
        <w:t>he Corporation of the Town of Penetanguishene as follows:</w:t>
      </w:r>
    </w:p>
    <w:p w:rsidR="007055DB" w:rsidRPr="007B21C0" w:rsidRDefault="007055DB" w:rsidP="007B21C0">
      <w:pPr>
        <w:jc w:val="both"/>
        <w:rPr>
          <w:szCs w:val="24"/>
        </w:rPr>
      </w:pPr>
    </w:p>
    <w:p w:rsidR="00B46C6B" w:rsidRDefault="00880BC7" w:rsidP="00B46C6B">
      <w:pPr>
        <w:pStyle w:val="ListParagraph"/>
        <w:numPr>
          <w:ilvl w:val="0"/>
          <w:numId w:val="1"/>
        </w:numPr>
        <w:ind w:hanging="720"/>
        <w:jc w:val="both"/>
        <w:rPr>
          <w:szCs w:val="24"/>
        </w:rPr>
      </w:pPr>
      <w:r w:rsidRPr="00880BC7">
        <w:rPr>
          <w:szCs w:val="24"/>
        </w:rPr>
        <w:t xml:space="preserve">That the property known as </w:t>
      </w:r>
      <w:r w:rsidRPr="00880BC7">
        <w:rPr>
          <w:color w:val="000000"/>
          <w:szCs w:val="24"/>
        </w:rPr>
        <w:t>PLAN 9 PT LOT 3 RP 51R4802 PART 1 TO 3</w:t>
      </w:r>
      <w:r w:rsidRPr="00880BC7">
        <w:rPr>
          <w:szCs w:val="24"/>
        </w:rPr>
        <w:t xml:space="preserve">, municipally known as 12 Water Street, Penetanguishene, is hereby designated as being of </w:t>
      </w:r>
      <w:r w:rsidRPr="00880BC7">
        <w:rPr>
          <w:b/>
          <w:szCs w:val="24"/>
        </w:rPr>
        <w:t xml:space="preserve">Cultural Heritage Value and Interest </w:t>
      </w:r>
      <w:r w:rsidRPr="00880BC7">
        <w:rPr>
          <w:szCs w:val="24"/>
        </w:rPr>
        <w:t>pursuant to section 29 of the Ontario Heritage Act R.S.O. 1990, CHAPTER O.18.</w:t>
      </w:r>
    </w:p>
    <w:p w:rsidR="00B46C6B" w:rsidRDefault="00B46C6B" w:rsidP="00B46C6B">
      <w:pPr>
        <w:pStyle w:val="ListParagraph"/>
        <w:jc w:val="both"/>
        <w:rPr>
          <w:szCs w:val="24"/>
        </w:rPr>
      </w:pPr>
    </w:p>
    <w:p w:rsidR="00B46C6B" w:rsidRDefault="00880BC7" w:rsidP="00B46C6B">
      <w:pPr>
        <w:pStyle w:val="ListParagraph"/>
        <w:numPr>
          <w:ilvl w:val="0"/>
          <w:numId w:val="1"/>
        </w:numPr>
        <w:ind w:hanging="720"/>
        <w:jc w:val="both"/>
        <w:rPr>
          <w:szCs w:val="24"/>
        </w:rPr>
      </w:pPr>
      <w:r w:rsidRPr="00B46C6B">
        <w:rPr>
          <w:szCs w:val="24"/>
        </w:rPr>
        <w:t xml:space="preserve">That the statement of Statement of the Cultural Heritage Value or Interest, outlining the </w:t>
      </w:r>
      <w:r w:rsidR="00B46C6B" w:rsidRPr="00B46C6B">
        <w:rPr>
          <w:szCs w:val="24"/>
        </w:rPr>
        <w:t xml:space="preserve">Description of Property, Statement of Cultural Heritage Value or Interest and Description of Heritage Attributes is </w:t>
      </w:r>
      <w:r w:rsidRPr="00B46C6B">
        <w:rPr>
          <w:szCs w:val="24"/>
        </w:rPr>
        <w:t>attached hereto and forming part of this By-law as Schedule “A”.</w:t>
      </w:r>
    </w:p>
    <w:p w:rsidR="00B46C6B" w:rsidRPr="00B46C6B" w:rsidRDefault="00B46C6B" w:rsidP="00B46C6B">
      <w:pPr>
        <w:pStyle w:val="ListParagraph"/>
        <w:rPr>
          <w:rFonts w:cs="Arial"/>
          <w:szCs w:val="24"/>
        </w:rPr>
      </w:pPr>
    </w:p>
    <w:p w:rsidR="00B46C6B" w:rsidRPr="00B46C6B" w:rsidRDefault="00880BC7" w:rsidP="00B46C6B">
      <w:pPr>
        <w:pStyle w:val="ListParagraph"/>
        <w:numPr>
          <w:ilvl w:val="0"/>
          <w:numId w:val="1"/>
        </w:numPr>
        <w:ind w:hanging="720"/>
        <w:jc w:val="both"/>
        <w:rPr>
          <w:szCs w:val="24"/>
        </w:rPr>
      </w:pPr>
      <w:r w:rsidRPr="00B46C6B">
        <w:rPr>
          <w:rFonts w:cs="Arial"/>
          <w:szCs w:val="24"/>
        </w:rPr>
        <w:t xml:space="preserve">That the Clerk is hereby authorized to cause a notice of the passing of this By-law </w:t>
      </w:r>
      <w:r w:rsidR="00B46C6B">
        <w:t>pursuant to section 29 of the Ontario Heritage Act R.S.O. 1990, CHAPTER O.18 subsection (6).</w:t>
      </w:r>
    </w:p>
    <w:p w:rsidR="00880BC7" w:rsidRPr="00880BC7" w:rsidRDefault="00880BC7" w:rsidP="00880BC7">
      <w:pPr>
        <w:pStyle w:val="ListParagraph"/>
        <w:rPr>
          <w:szCs w:val="24"/>
        </w:rPr>
      </w:pPr>
    </w:p>
    <w:p w:rsidR="00B46C6B" w:rsidRPr="00B46C6B" w:rsidRDefault="00B46C6B" w:rsidP="00B46C6B">
      <w:pPr>
        <w:pStyle w:val="ListParagraph"/>
        <w:numPr>
          <w:ilvl w:val="0"/>
          <w:numId w:val="1"/>
        </w:numPr>
        <w:autoSpaceDE w:val="0"/>
        <w:autoSpaceDN w:val="0"/>
        <w:adjustRightInd w:val="0"/>
        <w:ind w:hanging="720"/>
        <w:jc w:val="both"/>
        <w:rPr>
          <w:szCs w:val="24"/>
        </w:rPr>
      </w:pPr>
      <w:r>
        <w:rPr>
          <w:szCs w:val="24"/>
        </w:rPr>
        <w:t>That the Town Solicitor is hereby authorized to cause this By-law to</w:t>
      </w:r>
      <w:r>
        <w:t xml:space="preserve"> be registered against the property affected in the proper land registry office.</w:t>
      </w:r>
    </w:p>
    <w:p w:rsidR="00B46C6B" w:rsidRPr="00B46C6B" w:rsidRDefault="00B46C6B" w:rsidP="00B46C6B">
      <w:pPr>
        <w:pStyle w:val="ListParagraph"/>
        <w:rPr>
          <w:szCs w:val="24"/>
        </w:rPr>
      </w:pPr>
    </w:p>
    <w:p w:rsidR="00FB1004" w:rsidRPr="00B46C6B" w:rsidRDefault="00FB1004" w:rsidP="00B46C6B">
      <w:pPr>
        <w:pStyle w:val="ListParagraph"/>
        <w:numPr>
          <w:ilvl w:val="0"/>
          <w:numId w:val="1"/>
        </w:numPr>
        <w:autoSpaceDE w:val="0"/>
        <w:autoSpaceDN w:val="0"/>
        <w:adjustRightInd w:val="0"/>
        <w:ind w:hanging="720"/>
        <w:jc w:val="both"/>
        <w:rPr>
          <w:szCs w:val="24"/>
        </w:rPr>
      </w:pPr>
      <w:r w:rsidRPr="00B46C6B">
        <w:rPr>
          <w:szCs w:val="24"/>
        </w:rPr>
        <w:t xml:space="preserve">That this By-law shall come into force and effect </w:t>
      </w:r>
      <w:r w:rsidR="00B123FB" w:rsidRPr="00B46C6B">
        <w:rPr>
          <w:szCs w:val="24"/>
        </w:rPr>
        <w:t xml:space="preserve">upon </w:t>
      </w:r>
      <w:r w:rsidR="00B46C6B">
        <w:rPr>
          <w:szCs w:val="24"/>
        </w:rPr>
        <w:t xml:space="preserve">registration </w:t>
      </w:r>
      <w:r w:rsidR="00B46C6B">
        <w:t>in the proper land registry office</w:t>
      </w:r>
      <w:r w:rsidRPr="00B46C6B">
        <w:rPr>
          <w:szCs w:val="24"/>
        </w:rPr>
        <w:t>.</w:t>
      </w:r>
    </w:p>
    <w:p w:rsidR="00FB1004" w:rsidRPr="007B21C0" w:rsidRDefault="00FB1004" w:rsidP="007B21C0">
      <w:pPr>
        <w:jc w:val="both"/>
        <w:rPr>
          <w:szCs w:val="24"/>
        </w:rPr>
      </w:pPr>
    </w:p>
    <w:p w:rsidR="00B123FB" w:rsidRDefault="00B123FB" w:rsidP="00B123FB">
      <w:pPr>
        <w:jc w:val="both"/>
        <w:rPr>
          <w:rFonts w:cs="Arial"/>
          <w:szCs w:val="24"/>
        </w:rPr>
      </w:pPr>
      <w:r w:rsidRPr="003F3838">
        <w:rPr>
          <w:rFonts w:cs="Arial"/>
          <w:b/>
          <w:szCs w:val="24"/>
        </w:rPr>
        <w:t>BY-LAW</w:t>
      </w:r>
      <w:r w:rsidRPr="003F3838">
        <w:rPr>
          <w:rFonts w:cs="Arial"/>
          <w:szCs w:val="24"/>
        </w:rPr>
        <w:t xml:space="preserve"> read a first, second and third time and fin</w:t>
      </w:r>
      <w:r w:rsidR="00B46C6B">
        <w:rPr>
          <w:rFonts w:cs="Arial"/>
          <w:szCs w:val="24"/>
        </w:rPr>
        <w:t>ally passed by Council on the 23rd</w:t>
      </w:r>
      <w:r w:rsidRPr="003F3838">
        <w:rPr>
          <w:rFonts w:cs="Arial"/>
          <w:szCs w:val="24"/>
        </w:rPr>
        <w:t xml:space="preserve"> day of </w:t>
      </w:r>
      <w:r w:rsidR="00B46C6B">
        <w:rPr>
          <w:rFonts w:cs="Arial"/>
          <w:szCs w:val="24"/>
        </w:rPr>
        <w:t>November</w:t>
      </w:r>
      <w:r>
        <w:rPr>
          <w:rFonts w:cs="Arial"/>
          <w:szCs w:val="24"/>
        </w:rPr>
        <w:t>, 2011</w:t>
      </w:r>
      <w:r w:rsidRPr="003F3838">
        <w:rPr>
          <w:rFonts w:cs="Arial"/>
          <w:szCs w:val="24"/>
        </w:rPr>
        <w:t xml:space="preserve">.    </w:t>
      </w:r>
      <w:r w:rsidRPr="003F3838">
        <w:rPr>
          <w:rFonts w:cs="Arial"/>
          <w:szCs w:val="24"/>
        </w:rPr>
        <w:tab/>
        <w:t xml:space="preserve"> </w:t>
      </w:r>
    </w:p>
    <w:p w:rsidR="00B46C6B" w:rsidRDefault="00B46C6B" w:rsidP="00B123FB">
      <w:pPr>
        <w:jc w:val="both"/>
        <w:rPr>
          <w:rFonts w:cs="Arial"/>
          <w:szCs w:val="24"/>
        </w:rPr>
      </w:pPr>
    </w:p>
    <w:p w:rsidR="00B46C6B" w:rsidRDefault="00B46C6B" w:rsidP="00B123FB">
      <w:pPr>
        <w:jc w:val="both"/>
        <w:rPr>
          <w:rFonts w:cs="Arial"/>
          <w:szCs w:val="24"/>
        </w:rPr>
      </w:pPr>
    </w:p>
    <w:p w:rsidR="00B123FB" w:rsidRPr="00106C6C" w:rsidRDefault="00B123FB" w:rsidP="00B123FB">
      <w:pPr>
        <w:ind w:left="5040" w:firstLine="720"/>
        <w:jc w:val="both"/>
        <w:rPr>
          <w:rFonts w:cs="Arial"/>
          <w:lang w:val="en-CA"/>
        </w:rPr>
      </w:pPr>
      <w:r w:rsidRPr="00106C6C">
        <w:rPr>
          <w:rFonts w:cs="Arial"/>
          <w:lang w:val="en-CA"/>
        </w:rPr>
        <w:t>___________________________</w:t>
      </w:r>
    </w:p>
    <w:p w:rsidR="00B123FB" w:rsidRPr="00106C6C" w:rsidRDefault="00B123FB" w:rsidP="00B123FB">
      <w:pPr>
        <w:ind w:left="5040" w:firstLine="720"/>
        <w:jc w:val="both"/>
        <w:rPr>
          <w:rFonts w:cs="Arial"/>
          <w:lang w:val="en-CA"/>
        </w:rPr>
      </w:pPr>
      <w:r w:rsidRPr="00106C6C">
        <w:rPr>
          <w:rFonts w:cs="Arial"/>
          <w:lang w:val="en-CA"/>
        </w:rPr>
        <w:t>MAYOR</w:t>
      </w:r>
      <w:r>
        <w:rPr>
          <w:rFonts w:cs="Arial"/>
          <w:lang w:val="en-CA"/>
        </w:rPr>
        <w:t xml:space="preserve"> Gerry Marshall</w:t>
      </w:r>
    </w:p>
    <w:p w:rsidR="00B123FB" w:rsidRDefault="00B123FB" w:rsidP="00B123FB">
      <w:pPr>
        <w:ind w:left="3600" w:firstLine="720"/>
        <w:jc w:val="both"/>
        <w:rPr>
          <w:rFonts w:cs="Arial"/>
          <w:lang w:val="en-CA"/>
        </w:rPr>
      </w:pPr>
    </w:p>
    <w:p w:rsidR="00B123FB" w:rsidRPr="00106C6C" w:rsidRDefault="00B123FB" w:rsidP="00B123FB">
      <w:pPr>
        <w:ind w:left="3600" w:firstLine="720"/>
        <w:jc w:val="both"/>
        <w:rPr>
          <w:rFonts w:cs="Arial"/>
          <w:lang w:val="en-CA"/>
        </w:rPr>
      </w:pPr>
    </w:p>
    <w:p w:rsidR="00B123FB" w:rsidRPr="00106C6C" w:rsidRDefault="00B123FB" w:rsidP="00B123FB">
      <w:pPr>
        <w:ind w:left="5040" w:firstLine="720"/>
        <w:jc w:val="both"/>
        <w:rPr>
          <w:rFonts w:cs="Arial"/>
          <w:lang w:val="en-CA"/>
        </w:rPr>
      </w:pPr>
      <w:r w:rsidRPr="00106C6C">
        <w:rPr>
          <w:rFonts w:cs="Arial"/>
          <w:lang w:val="en-CA"/>
        </w:rPr>
        <w:t>___________________________</w:t>
      </w:r>
    </w:p>
    <w:p w:rsidR="00FB1004" w:rsidRPr="007B21C0" w:rsidRDefault="00B123FB" w:rsidP="00670B9A">
      <w:pPr>
        <w:ind w:left="5760"/>
        <w:jc w:val="both"/>
        <w:rPr>
          <w:szCs w:val="24"/>
        </w:rPr>
      </w:pPr>
      <w:r w:rsidRPr="00106C6C">
        <w:rPr>
          <w:rFonts w:cs="Arial"/>
          <w:lang w:val="en-CA"/>
        </w:rPr>
        <w:t>CLERK</w:t>
      </w:r>
      <w:r>
        <w:rPr>
          <w:rFonts w:cs="Arial"/>
          <w:lang w:val="en-CA"/>
        </w:rPr>
        <w:t xml:space="preserve"> Holly Bryce</w:t>
      </w:r>
    </w:p>
    <w:p w:rsidR="007B21C0" w:rsidRDefault="007B21C0">
      <w:pPr>
        <w:jc w:val="both"/>
        <w:rPr>
          <w:szCs w:val="24"/>
        </w:rPr>
      </w:pPr>
    </w:p>
    <w:p w:rsidR="00DD6AD9" w:rsidRDefault="00DD6AD9">
      <w:pPr>
        <w:jc w:val="both"/>
        <w:rPr>
          <w:szCs w:val="24"/>
        </w:rPr>
      </w:pPr>
    </w:p>
    <w:p w:rsidR="00DD6AD9" w:rsidRDefault="00DD6AD9">
      <w:pPr>
        <w:jc w:val="both"/>
        <w:rPr>
          <w:szCs w:val="24"/>
        </w:rPr>
      </w:pPr>
    </w:p>
    <w:p w:rsidR="00DD6AD9" w:rsidRDefault="00DD6AD9">
      <w:pPr>
        <w:jc w:val="both"/>
        <w:rPr>
          <w:szCs w:val="24"/>
        </w:rPr>
      </w:pPr>
    </w:p>
    <w:p w:rsidR="00DD6AD9" w:rsidRDefault="00DD6AD9">
      <w:pPr>
        <w:jc w:val="both"/>
        <w:rPr>
          <w:szCs w:val="24"/>
        </w:rPr>
      </w:pPr>
    </w:p>
    <w:p w:rsidR="00DD6AD9" w:rsidRDefault="00DD6AD9">
      <w:pPr>
        <w:jc w:val="both"/>
        <w:rPr>
          <w:szCs w:val="24"/>
        </w:rPr>
      </w:pPr>
    </w:p>
    <w:p w:rsidR="00DD6AD9" w:rsidRDefault="00DD6AD9">
      <w:pPr>
        <w:jc w:val="both"/>
        <w:rPr>
          <w:szCs w:val="24"/>
        </w:rPr>
      </w:pPr>
    </w:p>
    <w:p w:rsidR="00DD6AD9" w:rsidRDefault="00DD6AD9">
      <w:pPr>
        <w:jc w:val="both"/>
        <w:rPr>
          <w:szCs w:val="24"/>
        </w:rPr>
      </w:pPr>
    </w:p>
    <w:p w:rsidR="00DD6AD9" w:rsidRDefault="00DD6AD9">
      <w:pPr>
        <w:jc w:val="both"/>
        <w:rPr>
          <w:szCs w:val="24"/>
        </w:rPr>
      </w:pPr>
    </w:p>
    <w:p w:rsidR="00DD6AD9" w:rsidRDefault="00DD6AD9">
      <w:pPr>
        <w:jc w:val="both"/>
        <w:rPr>
          <w:szCs w:val="24"/>
        </w:rPr>
      </w:pPr>
    </w:p>
    <w:p w:rsidR="00DD6AD9" w:rsidRDefault="00DD6AD9">
      <w:pPr>
        <w:jc w:val="both"/>
        <w:rPr>
          <w:szCs w:val="24"/>
        </w:rPr>
      </w:pPr>
    </w:p>
    <w:p w:rsidR="00DD6AD9" w:rsidRDefault="00DD6AD9">
      <w:pPr>
        <w:jc w:val="both"/>
        <w:rPr>
          <w:szCs w:val="24"/>
        </w:rPr>
      </w:pPr>
    </w:p>
    <w:p w:rsidR="00DD6AD9" w:rsidRDefault="00DD6AD9">
      <w:pPr>
        <w:jc w:val="both"/>
        <w:rPr>
          <w:szCs w:val="24"/>
        </w:rPr>
      </w:pPr>
    </w:p>
    <w:p w:rsidR="00DD6AD9" w:rsidRDefault="00DD6AD9">
      <w:pPr>
        <w:jc w:val="both"/>
        <w:rPr>
          <w:szCs w:val="24"/>
        </w:rPr>
      </w:pPr>
    </w:p>
    <w:p w:rsidR="00DD6AD9" w:rsidRDefault="00DD6AD9">
      <w:pPr>
        <w:jc w:val="both"/>
        <w:rPr>
          <w:szCs w:val="24"/>
        </w:rPr>
      </w:pPr>
    </w:p>
    <w:p w:rsidR="00DD6AD9" w:rsidRDefault="00DD6AD9">
      <w:pPr>
        <w:jc w:val="both"/>
        <w:rPr>
          <w:szCs w:val="24"/>
        </w:rPr>
      </w:pPr>
    </w:p>
    <w:p w:rsidR="00DD6AD9" w:rsidRDefault="00DD6AD9">
      <w:pPr>
        <w:jc w:val="both"/>
        <w:rPr>
          <w:szCs w:val="24"/>
        </w:rPr>
      </w:pPr>
    </w:p>
    <w:p w:rsidR="00DD6AD9" w:rsidRDefault="00DD6AD9">
      <w:pPr>
        <w:jc w:val="both"/>
        <w:rPr>
          <w:szCs w:val="24"/>
        </w:rPr>
      </w:pPr>
    </w:p>
    <w:p w:rsidR="00DD6AD9" w:rsidRDefault="00DD6AD9">
      <w:pPr>
        <w:jc w:val="both"/>
        <w:rPr>
          <w:szCs w:val="24"/>
        </w:rPr>
      </w:pPr>
    </w:p>
    <w:p w:rsidR="00DD6AD9" w:rsidRDefault="00DD6AD9">
      <w:pPr>
        <w:jc w:val="both"/>
        <w:rPr>
          <w:szCs w:val="24"/>
        </w:rPr>
      </w:pPr>
    </w:p>
    <w:p w:rsidR="00DD6AD9" w:rsidRDefault="00DD6AD9">
      <w:pPr>
        <w:jc w:val="both"/>
        <w:rPr>
          <w:szCs w:val="24"/>
        </w:rPr>
      </w:pPr>
    </w:p>
    <w:p w:rsidR="00DD6AD9" w:rsidRDefault="00DD6AD9">
      <w:pPr>
        <w:jc w:val="both"/>
        <w:rPr>
          <w:szCs w:val="24"/>
        </w:rPr>
      </w:pPr>
    </w:p>
    <w:p w:rsidR="00DD6AD9" w:rsidRDefault="00DD6AD9">
      <w:pPr>
        <w:jc w:val="both"/>
        <w:rPr>
          <w:szCs w:val="24"/>
        </w:rPr>
      </w:pPr>
    </w:p>
    <w:p w:rsidR="00DD6AD9" w:rsidRDefault="00DD6AD9">
      <w:pPr>
        <w:jc w:val="both"/>
        <w:rPr>
          <w:szCs w:val="24"/>
        </w:rPr>
      </w:pPr>
    </w:p>
    <w:p w:rsidR="00DD6AD9" w:rsidRDefault="00DD6AD9">
      <w:pPr>
        <w:jc w:val="both"/>
        <w:rPr>
          <w:szCs w:val="24"/>
        </w:rPr>
      </w:pPr>
    </w:p>
    <w:p w:rsidR="00DD6AD9" w:rsidRDefault="00DD6AD9">
      <w:pPr>
        <w:jc w:val="both"/>
        <w:rPr>
          <w:szCs w:val="24"/>
        </w:rPr>
      </w:pPr>
    </w:p>
    <w:p w:rsidR="00DD6AD9" w:rsidRDefault="00DD6AD9">
      <w:pPr>
        <w:jc w:val="both"/>
        <w:rPr>
          <w:szCs w:val="24"/>
        </w:rPr>
      </w:pPr>
    </w:p>
    <w:p w:rsidR="00DD6AD9" w:rsidRDefault="00DD6AD9">
      <w:pPr>
        <w:jc w:val="both"/>
        <w:rPr>
          <w:szCs w:val="24"/>
        </w:rPr>
      </w:pPr>
    </w:p>
    <w:p w:rsidR="00DD6AD9" w:rsidRPr="00DD6AD9" w:rsidRDefault="00DD6AD9" w:rsidP="00DD6AD9">
      <w:pPr>
        <w:jc w:val="center"/>
        <w:rPr>
          <w:b/>
          <w:szCs w:val="24"/>
        </w:rPr>
      </w:pPr>
      <w:r w:rsidRPr="00DD6AD9">
        <w:rPr>
          <w:b/>
          <w:szCs w:val="24"/>
        </w:rPr>
        <w:lastRenderedPageBreak/>
        <w:t>SCHEDULE “A” of BY-LAW NUMBER 2011-87</w:t>
      </w:r>
    </w:p>
    <w:p w:rsidR="00DD6AD9" w:rsidRPr="00DD6AD9" w:rsidRDefault="00DD6AD9" w:rsidP="00DD6AD9">
      <w:pPr>
        <w:jc w:val="center"/>
        <w:rPr>
          <w:b/>
          <w:szCs w:val="24"/>
        </w:rPr>
      </w:pPr>
    </w:p>
    <w:p w:rsidR="00DD6AD9" w:rsidRDefault="00DD6AD9" w:rsidP="00DD6AD9">
      <w:pPr>
        <w:jc w:val="center"/>
        <w:rPr>
          <w:b/>
          <w:szCs w:val="24"/>
        </w:rPr>
      </w:pPr>
      <w:r w:rsidRPr="00DD6AD9">
        <w:rPr>
          <w:b/>
          <w:szCs w:val="24"/>
        </w:rPr>
        <w:t xml:space="preserve">Being a By-law to </w:t>
      </w:r>
      <w:r w:rsidRPr="00DD6AD9">
        <w:rPr>
          <w:rFonts w:cs="Arial"/>
          <w:b/>
          <w:szCs w:val="24"/>
        </w:rPr>
        <w:t xml:space="preserve">Designate the Property Known Municipally as 12 Water Street under the Ontario Heritage Act as Being of </w:t>
      </w:r>
      <w:r w:rsidRPr="00DD6AD9">
        <w:rPr>
          <w:b/>
          <w:szCs w:val="24"/>
        </w:rPr>
        <w:t>Cultural Heritage Value and Interest</w:t>
      </w:r>
    </w:p>
    <w:p w:rsidR="00DD6AD9" w:rsidRDefault="00DD6AD9" w:rsidP="00DD6AD9">
      <w:pPr>
        <w:jc w:val="center"/>
        <w:rPr>
          <w:b/>
          <w:szCs w:val="24"/>
        </w:rPr>
      </w:pPr>
    </w:p>
    <w:p w:rsidR="00DD6AD9" w:rsidRDefault="00DD6AD9" w:rsidP="00DD6AD9">
      <w:pPr>
        <w:jc w:val="center"/>
        <w:rPr>
          <w:b/>
          <w:sz w:val="32"/>
          <w:szCs w:val="32"/>
        </w:rPr>
      </w:pPr>
      <w:r>
        <w:rPr>
          <w:b/>
          <w:sz w:val="32"/>
          <w:szCs w:val="32"/>
        </w:rPr>
        <w:t xml:space="preserve">Statement of the Cultural Heritage Value or Interest </w:t>
      </w:r>
    </w:p>
    <w:p w:rsidR="00DD6AD9" w:rsidRPr="007959A2" w:rsidRDefault="00DD6AD9" w:rsidP="00DD6AD9">
      <w:pPr>
        <w:jc w:val="center"/>
        <w:rPr>
          <w:b/>
          <w:sz w:val="32"/>
          <w:szCs w:val="32"/>
        </w:rPr>
      </w:pPr>
      <w:r w:rsidRPr="007959A2">
        <w:rPr>
          <w:b/>
          <w:sz w:val="32"/>
          <w:szCs w:val="32"/>
        </w:rPr>
        <w:t>12 Water Street, Penetanguishene</w:t>
      </w:r>
    </w:p>
    <w:p w:rsidR="00DD6AD9" w:rsidRPr="00605A43" w:rsidRDefault="00DD6AD9" w:rsidP="00DD6AD9">
      <w:pPr>
        <w:jc w:val="center"/>
        <w:rPr>
          <w:rFonts w:cs="Arial"/>
          <w:b/>
          <w:szCs w:val="24"/>
        </w:rPr>
      </w:pPr>
      <w:r w:rsidRPr="00605A43">
        <w:rPr>
          <w:b/>
          <w:szCs w:val="24"/>
        </w:rPr>
        <w:t xml:space="preserve">Pursuant to the </w:t>
      </w:r>
      <w:r w:rsidRPr="00605A43">
        <w:rPr>
          <w:rFonts w:cs="Arial"/>
          <w:b/>
          <w:szCs w:val="24"/>
        </w:rPr>
        <w:t>Ontario Heritage Act, R.S.O. 1990, CHAPTER O.18, Part IV</w:t>
      </w:r>
    </w:p>
    <w:p w:rsidR="00DD6AD9" w:rsidRDefault="00DD6AD9" w:rsidP="00DD6AD9">
      <w:pPr>
        <w:jc w:val="center"/>
        <w:rPr>
          <w:b/>
          <w:sz w:val="32"/>
          <w:szCs w:val="32"/>
        </w:rPr>
      </w:pPr>
    </w:p>
    <w:p w:rsidR="00DD6AD9" w:rsidRPr="007959A2" w:rsidRDefault="00DD6AD9" w:rsidP="00DD6AD9">
      <w:pPr>
        <w:pStyle w:val="Default"/>
        <w:rPr>
          <w:color w:val="auto"/>
          <w:sz w:val="28"/>
          <w:szCs w:val="28"/>
          <w:u w:val="single"/>
        </w:rPr>
      </w:pPr>
      <w:r w:rsidRPr="007959A2">
        <w:rPr>
          <w:b/>
          <w:bCs/>
          <w:color w:val="auto"/>
          <w:sz w:val="28"/>
          <w:szCs w:val="28"/>
          <w:u w:val="single"/>
        </w:rPr>
        <w:t>Description of Property</w:t>
      </w:r>
    </w:p>
    <w:p w:rsidR="00DD6AD9" w:rsidRDefault="00DD6AD9" w:rsidP="00DD6AD9">
      <w:pPr>
        <w:rPr>
          <w:rFonts w:cs="Arial"/>
          <w:color w:val="000000"/>
          <w:szCs w:val="24"/>
        </w:rPr>
      </w:pPr>
      <w:r>
        <w:rPr>
          <w:szCs w:val="24"/>
        </w:rPr>
        <w:t xml:space="preserve">Legal description being </w:t>
      </w:r>
      <w:r w:rsidRPr="007959A2">
        <w:rPr>
          <w:rFonts w:cs="Arial"/>
          <w:color w:val="000000"/>
          <w:szCs w:val="24"/>
        </w:rPr>
        <w:t>PLAN</w:t>
      </w:r>
      <w:r>
        <w:rPr>
          <w:rFonts w:cs="Arial"/>
          <w:color w:val="000000"/>
          <w:szCs w:val="24"/>
        </w:rPr>
        <w:t xml:space="preserve"> </w:t>
      </w:r>
      <w:r w:rsidRPr="007959A2">
        <w:rPr>
          <w:rFonts w:cs="Arial"/>
          <w:color w:val="000000"/>
          <w:szCs w:val="24"/>
        </w:rPr>
        <w:t>9 PT LOT 3 RP 51R4802 PART 1 TO 3</w:t>
      </w:r>
      <w:r>
        <w:rPr>
          <w:rFonts w:cs="Arial"/>
          <w:color w:val="000000"/>
          <w:szCs w:val="24"/>
        </w:rPr>
        <w:t>.</w:t>
      </w:r>
    </w:p>
    <w:p w:rsidR="00DD6AD9" w:rsidRDefault="00DD6AD9" w:rsidP="00DD6AD9">
      <w:pPr>
        <w:rPr>
          <w:rFonts w:cs="Arial"/>
          <w:color w:val="000000"/>
          <w:szCs w:val="24"/>
        </w:rPr>
      </w:pPr>
      <w:r>
        <w:rPr>
          <w:rFonts w:cs="Arial"/>
          <w:color w:val="000000"/>
          <w:szCs w:val="24"/>
        </w:rPr>
        <w:t>Assessment Roll Number 4372010003050000000.</w:t>
      </w:r>
    </w:p>
    <w:p w:rsidR="00DD6AD9" w:rsidRDefault="00DD6AD9" w:rsidP="00DD6AD9">
      <w:pPr>
        <w:rPr>
          <w:szCs w:val="24"/>
        </w:rPr>
      </w:pPr>
      <w:r>
        <w:rPr>
          <w:szCs w:val="24"/>
        </w:rPr>
        <w:t>M</w:t>
      </w:r>
      <w:r w:rsidRPr="007959A2">
        <w:rPr>
          <w:szCs w:val="24"/>
        </w:rPr>
        <w:t>unicipally known as 12 Water Street, Penetanguishene</w:t>
      </w:r>
      <w:r>
        <w:rPr>
          <w:szCs w:val="24"/>
        </w:rPr>
        <w:t>.</w:t>
      </w:r>
    </w:p>
    <w:p w:rsidR="00DD6AD9" w:rsidRDefault="00DD6AD9" w:rsidP="00DD6AD9">
      <w:pPr>
        <w:rPr>
          <w:szCs w:val="24"/>
        </w:rPr>
      </w:pPr>
      <w:r>
        <w:rPr>
          <w:szCs w:val="24"/>
        </w:rPr>
        <w:t xml:space="preserve">Structure – Single Family Detached (Residential Home) </w:t>
      </w:r>
    </w:p>
    <w:p w:rsidR="00DD6AD9" w:rsidRPr="007959A2" w:rsidRDefault="00DD6AD9" w:rsidP="00DD6AD9">
      <w:pPr>
        <w:pStyle w:val="Default"/>
        <w:rPr>
          <w:color w:val="auto"/>
          <w:sz w:val="28"/>
          <w:szCs w:val="28"/>
          <w:u w:val="single"/>
        </w:rPr>
      </w:pPr>
    </w:p>
    <w:p w:rsidR="00DD6AD9" w:rsidRPr="007959A2" w:rsidRDefault="00DD6AD9" w:rsidP="00DD6AD9">
      <w:pPr>
        <w:pStyle w:val="Default"/>
        <w:rPr>
          <w:color w:val="auto"/>
          <w:sz w:val="28"/>
          <w:szCs w:val="28"/>
          <w:u w:val="single"/>
        </w:rPr>
      </w:pPr>
      <w:r w:rsidRPr="007959A2">
        <w:rPr>
          <w:b/>
          <w:bCs/>
          <w:color w:val="auto"/>
          <w:sz w:val="28"/>
          <w:szCs w:val="28"/>
          <w:u w:val="single"/>
        </w:rPr>
        <w:t>Statement of Cultural Heritage Value or Interest</w:t>
      </w:r>
      <w:r>
        <w:rPr>
          <w:b/>
          <w:bCs/>
          <w:color w:val="auto"/>
          <w:sz w:val="28"/>
          <w:szCs w:val="28"/>
          <w:u w:val="single"/>
        </w:rPr>
        <w:t xml:space="preserve"> </w:t>
      </w:r>
    </w:p>
    <w:p w:rsidR="00DD6AD9" w:rsidRPr="0022430A" w:rsidRDefault="00DD6AD9" w:rsidP="00DD6AD9">
      <w:r>
        <w:t xml:space="preserve">The home located at 12 Water Street has significant historical value as it is thought to be the oldest home constructed by an Englishman (George Gordon) in Penetanguishene in approximately 1828.  </w:t>
      </w:r>
      <w:r w:rsidRPr="0022430A">
        <w:t xml:space="preserve">The home was once used as a Roman Catholic Church (first in Town) for the town’s people until 1832 when the first church was built. </w:t>
      </w:r>
    </w:p>
    <w:p w:rsidR="00DD6AD9" w:rsidRDefault="00DD6AD9" w:rsidP="00DD6AD9">
      <w:pPr>
        <w:rPr>
          <w:szCs w:val="24"/>
        </w:rPr>
      </w:pPr>
    </w:p>
    <w:p w:rsidR="00DD6AD9" w:rsidRPr="0022430A" w:rsidRDefault="00DD6AD9" w:rsidP="00DD6AD9">
      <w:r w:rsidRPr="0022430A">
        <w:t>George Gordon</w:t>
      </w:r>
      <w:r>
        <w:t xml:space="preserve">, a veteran from the war of 1812 </w:t>
      </w:r>
      <w:r w:rsidRPr="0022430A">
        <w:t xml:space="preserve">was a fur trader in Drummond Island, Fort William and Sault Ste. Marie before relocating to Penetanguishene where he conducted his business from the property. </w:t>
      </w:r>
    </w:p>
    <w:p w:rsidR="00DD6AD9" w:rsidRDefault="00DD6AD9" w:rsidP="00DD6AD9"/>
    <w:p w:rsidR="00DD6AD9" w:rsidRDefault="00DD6AD9" w:rsidP="00DD6AD9">
      <w:r>
        <w:t xml:space="preserve">The property has physical value because it is a rare early example of an early Upper Canada Georgian Style.  The one and a half story house, of horizontally laid log construction which has since been covered with a stucco overlay, is a very plain unornamental house which has its own particular charm.  </w:t>
      </w:r>
    </w:p>
    <w:p w:rsidR="00DD6AD9" w:rsidRDefault="00DD6AD9" w:rsidP="00DD6AD9"/>
    <w:p w:rsidR="00DD6AD9" w:rsidRPr="0022430A" w:rsidRDefault="00DD6AD9" w:rsidP="00DD6AD9">
      <w:r w:rsidRPr="0022430A">
        <w:t xml:space="preserve">Archaeology information is unknown, however, the home was the first in town, was the first church and the first cemetery was not developed until 1835. The custom of the time was to bury your own on your property. It is believed that Gordon’s first wife was buried at Gordon’s point and it is unknown if any children or others are buried on the site. Artifacts located on the property may be a greater possibility, but is also unknown. </w:t>
      </w:r>
    </w:p>
    <w:p w:rsidR="00DD6AD9" w:rsidRDefault="00DD6AD9" w:rsidP="00DD6AD9">
      <w:pPr>
        <w:rPr>
          <w:szCs w:val="24"/>
        </w:rPr>
      </w:pPr>
    </w:p>
    <w:p w:rsidR="00DD6AD9" w:rsidRPr="0022430A" w:rsidRDefault="00DD6AD9" w:rsidP="00DD6AD9">
      <w:r w:rsidRPr="0022430A">
        <w:t xml:space="preserve">The home is situated on its original site and could be considered the </w:t>
      </w:r>
      <w:r>
        <w:t>anchor of “Old Penetanguishene” as it s</w:t>
      </w:r>
      <w:r w:rsidRPr="0022430A">
        <w:t>t</w:t>
      </w:r>
      <w:r>
        <w:t>ands on its original footprint in close proximity to the road.</w:t>
      </w:r>
    </w:p>
    <w:p w:rsidR="00DD6AD9" w:rsidRDefault="00DD6AD9" w:rsidP="00DD6AD9">
      <w:pPr>
        <w:pStyle w:val="Default"/>
        <w:rPr>
          <w:rFonts w:cs="Times New Roman"/>
          <w:color w:val="auto"/>
          <w:szCs w:val="20"/>
        </w:rPr>
      </w:pPr>
    </w:p>
    <w:p w:rsidR="00DD6AD9" w:rsidRPr="007959A2" w:rsidRDefault="00DD6AD9" w:rsidP="00DD6AD9">
      <w:pPr>
        <w:pStyle w:val="Default"/>
        <w:rPr>
          <w:color w:val="auto"/>
          <w:sz w:val="28"/>
          <w:szCs w:val="28"/>
          <w:u w:val="single"/>
        </w:rPr>
      </w:pPr>
      <w:r>
        <w:rPr>
          <w:b/>
          <w:bCs/>
          <w:color w:val="auto"/>
          <w:sz w:val="28"/>
          <w:szCs w:val="28"/>
          <w:u w:val="single"/>
        </w:rPr>
        <w:t>Description of H</w:t>
      </w:r>
      <w:r w:rsidRPr="007959A2">
        <w:rPr>
          <w:b/>
          <w:bCs/>
          <w:color w:val="auto"/>
          <w:sz w:val="28"/>
          <w:szCs w:val="28"/>
          <w:u w:val="single"/>
        </w:rPr>
        <w:t xml:space="preserve">eritage </w:t>
      </w:r>
      <w:r>
        <w:rPr>
          <w:b/>
          <w:bCs/>
          <w:color w:val="auto"/>
          <w:sz w:val="28"/>
          <w:szCs w:val="28"/>
          <w:u w:val="single"/>
        </w:rPr>
        <w:t>A</w:t>
      </w:r>
      <w:r w:rsidRPr="007959A2">
        <w:rPr>
          <w:b/>
          <w:bCs/>
          <w:color w:val="auto"/>
          <w:sz w:val="28"/>
          <w:szCs w:val="28"/>
          <w:u w:val="single"/>
        </w:rPr>
        <w:t>ttributes</w:t>
      </w:r>
      <w:r>
        <w:rPr>
          <w:b/>
          <w:bCs/>
          <w:color w:val="auto"/>
          <w:sz w:val="28"/>
          <w:szCs w:val="28"/>
          <w:u w:val="single"/>
        </w:rPr>
        <w:t xml:space="preserve"> </w:t>
      </w:r>
    </w:p>
    <w:p w:rsidR="00DD6AD9" w:rsidRPr="0022430A" w:rsidRDefault="00DD6AD9" w:rsidP="00DD6AD9"/>
    <w:p w:rsidR="00DD6AD9" w:rsidRPr="00B97F4A" w:rsidRDefault="00DD6AD9" w:rsidP="00DD6AD9">
      <w:r>
        <w:t xml:space="preserve">One criteria that is not met for the Georgian Style, that adds to the unique features of the home is the </w:t>
      </w:r>
      <w:r w:rsidRPr="00B97F4A">
        <w:t>chimney stack, made of brick that is not in line with the symmetry of the house.  The single stack runs within the west face of the structure and is centered on the peak of the highest gable roof but is offset to the right when looking at the front façade.</w:t>
      </w:r>
    </w:p>
    <w:p w:rsidR="00DD6AD9" w:rsidRPr="00B97F4A" w:rsidRDefault="00DD6AD9" w:rsidP="00DD6AD9"/>
    <w:p w:rsidR="00DD6AD9" w:rsidRPr="00B97F4A" w:rsidRDefault="00DD6AD9" w:rsidP="00DD6AD9">
      <w:r w:rsidRPr="00B97F4A">
        <w:t xml:space="preserve">The eaves are of wood and project, and there are no rafters exposed.  The windows on the ground floor are very plainly decorated with no head surround and no prominent sill.  </w:t>
      </w:r>
    </w:p>
    <w:p w:rsidR="00DD6AD9" w:rsidRPr="00B97F4A" w:rsidRDefault="00DD6AD9" w:rsidP="00DD6AD9">
      <w:r w:rsidRPr="00B97F4A">
        <w:lastRenderedPageBreak/>
        <w:t xml:space="preserve">The exterior of the home has seen renovations over the years with the addition of dormers, enclosure of the front veranda, window replacement and stucco. </w:t>
      </w:r>
    </w:p>
    <w:p w:rsidR="00DD6AD9" w:rsidRPr="00B97F4A" w:rsidRDefault="00DD6AD9" w:rsidP="00DD6AD9"/>
    <w:p w:rsidR="00DD6AD9" w:rsidRPr="00B97F4A" w:rsidRDefault="00DD6AD9" w:rsidP="00DD6AD9">
      <w:r w:rsidRPr="00B97F4A">
        <w:t>The front veranda, now enclosed, once had decorative finials on the upper portion of the posts and a simply constructed rail.  The original laminated flushed entrance door centered on the main faced once housed the only ornamental trim on the exterior of the building.  Future restoration of the original front veranda and entrance would add to the historical impression of the front façade.</w:t>
      </w:r>
    </w:p>
    <w:p w:rsidR="00DD6AD9" w:rsidRPr="00B97F4A" w:rsidRDefault="00DD6AD9" w:rsidP="00DD6AD9"/>
    <w:p w:rsidR="00DD6AD9" w:rsidRPr="00B97F4A" w:rsidRDefault="00DD6AD9" w:rsidP="00DD6AD9">
      <w:r w:rsidRPr="00B97F4A">
        <w:t xml:space="preserve">The interior of the home maintains the original fireplace with the existing stone surround and hearth and the interior log and beam construction, where visible is in good condition. </w:t>
      </w:r>
    </w:p>
    <w:p w:rsidR="00DD6AD9" w:rsidRPr="0022430A" w:rsidRDefault="00A429FB" w:rsidP="00DD6AD9">
      <w:r>
        <w:pict>
          <v:rect id="_x0000_i1025" style="width:0;height:1.5pt" o:hralign="center" o:hrstd="t" o:hr="t" fillcolor="gray" stroked="f"/>
        </w:pict>
      </w:r>
    </w:p>
    <w:p w:rsidR="00DD6AD9" w:rsidRPr="0022430A" w:rsidRDefault="00DD6AD9" w:rsidP="00DD6AD9">
      <w:pPr>
        <w:rPr>
          <w:b/>
        </w:rPr>
      </w:pPr>
      <w:r w:rsidRPr="0022430A">
        <w:rPr>
          <w:b/>
        </w:rPr>
        <w:t xml:space="preserve">Design/Physical Value (highest score 10) </w:t>
      </w:r>
    </w:p>
    <w:p w:rsidR="00DD6AD9" w:rsidRPr="0022430A" w:rsidRDefault="00DD6AD9" w:rsidP="00DD6AD9">
      <w:r w:rsidRPr="0022430A">
        <w:t xml:space="preserve">style 4 </w:t>
      </w:r>
    </w:p>
    <w:p w:rsidR="00DD6AD9" w:rsidRPr="0022430A" w:rsidRDefault="00DD6AD9" w:rsidP="00DD6AD9">
      <w:r w:rsidRPr="0022430A">
        <w:t xml:space="preserve">construction 5 interior examination required </w:t>
      </w:r>
    </w:p>
    <w:p w:rsidR="00DD6AD9" w:rsidRPr="0022430A" w:rsidRDefault="00DD6AD9" w:rsidP="00DD6AD9">
      <w:r w:rsidRPr="0022430A">
        <w:t xml:space="preserve">design 4 </w:t>
      </w:r>
    </w:p>
    <w:p w:rsidR="00DD6AD9" w:rsidRPr="0022430A" w:rsidRDefault="00DD6AD9" w:rsidP="00DD6AD9">
      <w:r w:rsidRPr="0022430A">
        <w:t xml:space="preserve">architect 0 </w:t>
      </w:r>
    </w:p>
    <w:p w:rsidR="00DD6AD9" w:rsidRPr="0022430A" w:rsidRDefault="00DD6AD9" w:rsidP="00DD6AD9">
      <w:r w:rsidRPr="0022430A">
        <w:t xml:space="preserve">alterations 2 interior examination required </w:t>
      </w:r>
    </w:p>
    <w:p w:rsidR="00DD6AD9" w:rsidRPr="0022430A" w:rsidRDefault="00DD6AD9" w:rsidP="00DD6AD9">
      <w:r w:rsidRPr="0022430A">
        <w:t xml:space="preserve">condition 4 further examination required </w:t>
      </w:r>
    </w:p>
    <w:p w:rsidR="00DD6AD9" w:rsidRPr="0022430A" w:rsidRDefault="00DD6AD9" w:rsidP="00DD6AD9">
      <w:r w:rsidRPr="0022430A">
        <w:t xml:space="preserve">Sub Total 19/60 </w:t>
      </w:r>
    </w:p>
    <w:p w:rsidR="00DD6AD9" w:rsidRPr="0022430A" w:rsidRDefault="00DD6AD9" w:rsidP="00DD6AD9"/>
    <w:p w:rsidR="00DD6AD9" w:rsidRPr="0022430A" w:rsidRDefault="00DD6AD9" w:rsidP="00DD6AD9">
      <w:pPr>
        <w:rPr>
          <w:b/>
        </w:rPr>
      </w:pPr>
      <w:r w:rsidRPr="0022430A">
        <w:rPr>
          <w:b/>
        </w:rPr>
        <w:t xml:space="preserve">Historical/Associative Value (highest score 12) </w:t>
      </w:r>
    </w:p>
    <w:p w:rsidR="00DD6AD9" w:rsidRPr="0022430A" w:rsidRDefault="00DD6AD9" w:rsidP="00DD6AD9">
      <w:r w:rsidRPr="0022430A">
        <w:t xml:space="preserve">Age 12 </w:t>
      </w:r>
    </w:p>
    <w:p w:rsidR="00DD6AD9" w:rsidRPr="0022430A" w:rsidRDefault="00DD6AD9" w:rsidP="00DD6AD9">
      <w:r w:rsidRPr="0022430A">
        <w:t xml:space="preserve">Person(s)/Group/Institution 12 </w:t>
      </w:r>
    </w:p>
    <w:p w:rsidR="00DD6AD9" w:rsidRPr="0022430A" w:rsidRDefault="00DD6AD9" w:rsidP="00DD6AD9">
      <w:r w:rsidRPr="0022430A">
        <w:t xml:space="preserve">Event 11 </w:t>
      </w:r>
    </w:p>
    <w:p w:rsidR="00DD6AD9" w:rsidRPr="0022430A" w:rsidRDefault="00DD6AD9" w:rsidP="00DD6AD9">
      <w:r w:rsidRPr="0022430A">
        <w:t xml:space="preserve">Community Development 12 </w:t>
      </w:r>
    </w:p>
    <w:p w:rsidR="00DD6AD9" w:rsidRPr="0022430A" w:rsidRDefault="00DD6AD9" w:rsidP="00DD6AD9">
      <w:r w:rsidRPr="0022430A">
        <w:t xml:space="preserve">Archaeology 4 </w:t>
      </w:r>
    </w:p>
    <w:p w:rsidR="00DD6AD9" w:rsidRPr="0022430A" w:rsidRDefault="00DD6AD9" w:rsidP="00DD6AD9">
      <w:r w:rsidRPr="0022430A">
        <w:t xml:space="preserve">Sub Total 51/60 </w:t>
      </w:r>
    </w:p>
    <w:p w:rsidR="00DD6AD9" w:rsidRDefault="00DD6AD9" w:rsidP="00DD6AD9"/>
    <w:p w:rsidR="00DD6AD9" w:rsidRPr="0022430A" w:rsidRDefault="00DD6AD9" w:rsidP="00DD6AD9">
      <w:pPr>
        <w:rPr>
          <w:b/>
        </w:rPr>
      </w:pPr>
      <w:r w:rsidRPr="0022430A">
        <w:rPr>
          <w:b/>
        </w:rPr>
        <w:t xml:space="preserve">Contextual Value (highest score 15) </w:t>
      </w:r>
    </w:p>
    <w:p w:rsidR="00DD6AD9" w:rsidRPr="0022430A" w:rsidRDefault="00DD6AD9" w:rsidP="00DD6AD9">
      <w:r w:rsidRPr="0022430A">
        <w:t xml:space="preserve">Continuity 5 </w:t>
      </w:r>
    </w:p>
    <w:p w:rsidR="00DD6AD9" w:rsidRPr="0022430A" w:rsidRDefault="00DD6AD9" w:rsidP="00DD6AD9">
      <w:r w:rsidRPr="0022430A">
        <w:t xml:space="preserve">Setting 7 </w:t>
      </w:r>
    </w:p>
    <w:p w:rsidR="00DD6AD9" w:rsidRPr="0022430A" w:rsidRDefault="00DD6AD9" w:rsidP="00DD6AD9">
      <w:r w:rsidRPr="0022430A">
        <w:t xml:space="preserve">Landmark 7 </w:t>
      </w:r>
    </w:p>
    <w:p w:rsidR="00DD6AD9" w:rsidRPr="0022430A" w:rsidRDefault="00DD6AD9" w:rsidP="00DD6AD9">
      <w:r w:rsidRPr="0022430A">
        <w:t xml:space="preserve">Site 15 </w:t>
      </w:r>
    </w:p>
    <w:p w:rsidR="00DD6AD9" w:rsidRPr="0022430A" w:rsidRDefault="00DD6AD9" w:rsidP="00DD6AD9">
      <w:r w:rsidRPr="0022430A">
        <w:t xml:space="preserve">Sub Total 34/60 </w:t>
      </w:r>
    </w:p>
    <w:p w:rsidR="00DD6AD9" w:rsidRPr="0022430A" w:rsidRDefault="00DD6AD9" w:rsidP="00DD6AD9"/>
    <w:p w:rsidR="00DD6AD9" w:rsidRDefault="00DD6AD9" w:rsidP="00DD6AD9">
      <w:pPr>
        <w:rPr>
          <w:b/>
        </w:rPr>
      </w:pPr>
      <w:r w:rsidRPr="0022430A">
        <w:rPr>
          <w:b/>
        </w:rPr>
        <w:t xml:space="preserve">TOTAL SCORE 104/180 </w:t>
      </w:r>
    </w:p>
    <w:p w:rsidR="00DD6AD9" w:rsidRPr="0022430A" w:rsidRDefault="00DD6AD9" w:rsidP="00DD6AD9">
      <w:r w:rsidRPr="0022430A">
        <w:t xml:space="preserve">Based on the evaluation, 12 Water Street ranked 104/180 (90+ required for designation). </w:t>
      </w:r>
    </w:p>
    <w:p w:rsidR="00DD6AD9" w:rsidRPr="00DD6AD9" w:rsidRDefault="00DD6AD9" w:rsidP="00DD6AD9">
      <w:pPr>
        <w:jc w:val="center"/>
        <w:rPr>
          <w:rFonts w:cs="Arial"/>
          <w:b/>
          <w:szCs w:val="24"/>
        </w:rPr>
      </w:pPr>
    </w:p>
    <w:p w:rsidR="00DD6AD9" w:rsidRDefault="00DD6AD9" w:rsidP="00DD6AD9">
      <w:pPr>
        <w:ind w:left="1200" w:right="1330"/>
        <w:jc w:val="center"/>
        <w:rPr>
          <w:szCs w:val="24"/>
        </w:rPr>
      </w:pPr>
    </w:p>
    <w:p w:rsidR="00DD6AD9" w:rsidRPr="007B21C0" w:rsidRDefault="00DD6AD9">
      <w:pPr>
        <w:jc w:val="both"/>
        <w:rPr>
          <w:szCs w:val="24"/>
        </w:rPr>
      </w:pPr>
    </w:p>
    <w:sectPr w:rsidR="00DD6AD9" w:rsidRPr="007B21C0" w:rsidSect="002F7E2B">
      <w:pgSz w:w="12240" w:h="15840"/>
      <w:pgMar w:top="1022" w:right="1008" w:bottom="1022" w:left="1008" w:header="720" w:footer="720" w:gutter="115"/>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901AE"/>
    <w:multiLevelType w:val="hybridMultilevel"/>
    <w:tmpl w:val="46245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CA9"/>
    <w:rsid w:val="000000DF"/>
    <w:rsid w:val="0007141F"/>
    <w:rsid w:val="000C1ACE"/>
    <w:rsid w:val="000C4A76"/>
    <w:rsid w:val="001449FA"/>
    <w:rsid w:val="0015053A"/>
    <w:rsid w:val="001D5DD5"/>
    <w:rsid w:val="002134C0"/>
    <w:rsid w:val="0022025F"/>
    <w:rsid w:val="0024790E"/>
    <w:rsid w:val="00297E6B"/>
    <w:rsid w:val="002A3DE5"/>
    <w:rsid w:val="002B205E"/>
    <w:rsid w:val="002E1519"/>
    <w:rsid w:val="002F7E2B"/>
    <w:rsid w:val="00314804"/>
    <w:rsid w:val="00324784"/>
    <w:rsid w:val="003466D7"/>
    <w:rsid w:val="003A7B40"/>
    <w:rsid w:val="003B4DBB"/>
    <w:rsid w:val="00454CA8"/>
    <w:rsid w:val="00477CFF"/>
    <w:rsid w:val="00484756"/>
    <w:rsid w:val="004A5A4C"/>
    <w:rsid w:val="004C509F"/>
    <w:rsid w:val="004E48BE"/>
    <w:rsid w:val="00506687"/>
    <w:rsid w:val="00554CA9"/>
    <w:rsid w:val="0059347F"/>
    <w:rsid w:val="005E6E4D"/>
    <w:rsid w:val="005F10D7"/>
    <w:rsid w:val="00605877"/>
    <w:rsid w:val="00670B9A"/>
    <w:rsid w:val="007055DB"/>
    <w:rsid w:val="00737757"/>
    <w:rsid w:val="00764D29"/>
    <w:rsid w:val="007B21C0"/>
    <w:rsid w:val="00831264"/>
    <w:rsid w:val="00880BC7"/>
    <w:rsid w:val="00942803"/>
    <w:rsid w:val="0095127E"/>
    <w:rsid w:val="009B48FD"/>
    <w:rsid w:val="009D0A24"/>
    <w:rsid w:val="00A429FB"/>
    <w:rsid w:val="00A74449"/>
    <w:rsid w:val="00AC30BE"/>
    <w:rsid w:val="00B04793"/>
    <w:rsid w:val="00B123FB"/>
    <w:rsid w:val="00B21FE7"/>
    <w:rsid w:val="00B46C6B"/>
    <w:rsid w:val="00B628AA"/>
    <w:rsid w:val="00B805E6"/>
    <w:rsid w:val="00BD1FD0"/>
    <w:rsid w:val="00BE11D5"/>
    <w:rsid w:val="00C06EA6"/>
    <w:rsid w:val="00C22EE2"/>
    <w:rsid w:val="00CA6356"/>
    <w:rsid w:val="00DA3EEE"/>
    <w:rsid w:val="00DB5941"/>
    <w:rsid w:val="00DD6AD9"/>
    <w:rsid w:val="00DD7A41"/>
    <w:rsid w:val="00DE58B1"/>
    <w:rsid w:val="00FB1004"/>
    <w:rsid w:val="00FD32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DE5"/>
    <w:rPr>
      <w:rFonts w:ascii="Arial" w:hAnsi="Arial"/>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134C0"/>
    <w:rPr>
      <w:rFonts w:ascii="Tahoma" w:hAnsi="Tahoma" w:cs="Tahoma"/>
      <w:sz w:val="16"/>
      <w:szCs w:val="16"/>
    </w:rPr>
  </w:style>
  <w:style w:type="character" w:styleId="Strong">
    <w:name w:val="Strong"/>
    <w:basedOn w:val="DefaultParagraphFont"/>
    <w:qFormat/>
    <w:rsid w:val="001D5DD5"/>
    <w:rPr>
      <w:b/>
      <w:bCs w:val="0"/>
    </w:rPr>
  </w:style>
  <w:style w:type="paragraph" w:customStyle="1" w:styleId="chapter-e">
    <w:name w:val="chapter-e"/>
    <w:basedOn w:val="Normal"/>
    <w:rsid w:val="0059347F"/>
    <w:pPr>
      <w:snapToGrid w:val="0"/>
      <w:spacing w:after="309" w:line="269" w:lineRule="atLeast"/>
      <w:jc w:val="center"/>
    </w:pPr>
    <w:rPr>
      <w:rFonts w:ascii="Times New Roman" w:hAnsi="Times New Roman"/>
      <w:caps/>
      <w:color w:val="000000"/>
      <w:sz w:val="26"/>
      <w:szCs w:val="26"/>
      <w:lang w:eastAsia="en-US"/>
    </w:rPr>
  </w:style>
  <w:style w:type="paragraph" w:customStyle="1" w:styleId="shorttitle-e">
    <w:name w:val="shorttitle-e"/>
    <w:basedOn w:val="Normal"/>
    <w:rsid w:val="0059347F"/>
    <w:pPr>
      <w:keepNext/>
      <w:snapToGrid w:val="0"/>
      <w:spacing w:after="578" w:line="270" w:lineRule="atLeast"/>
      <w:jc w:val="center"/>
    </w:pPr>
    <w:rPr>
      <w:rFonts w:ascii="Times New Roman" w:hAnsi="Times New Roman"/>
      <w:b/>
      <w:bCs/>
      <w:color w:val="000000"/>
      <w:sz w:val="26"/>
      <w:szCs w:val="26"/>
      <w:lang w:eastAsia="en-US"/>
    </w:rPr>
  </w:style>
  <w:style w:type="paragraph" w:customStyle="1" w:styleId="clause-e">
    <w:name w:val="clause-e"/>
    <w:basedOn w:val="Normal"/>
    <w:rsid w:val="0059347F"/>
    <w:pPr>
      <w:snapToGrid w:val="0"/>
      <w:spacing w:after="120"/>
      <w:ind w:left="1111" w:hanging="400"/>
    </w:pPr>
    <w:rPr>
      <w:rFonts w:ascii="Times New Roman" w:hAnsi="Times New Roman"/>
      <w:color w:val="000000"/>
      <w:sz w:val="26"/>
      <w:szCs w:val="26"/>
      <w:lang w:eastAsia="en-US"/>
    </w:rPr>
  </w:style>
  <w:style w:type="paragraph" w:customStyle="1" w:styleId="section-e">
    <w:name w:val="section-e"/>
    <w:basedOn w:val="Normal"/>
    <w:rsid w:val="0059347F"/>
    <w:pPr>
      <w:snapToGrid w:val="0"/>
      <w:spacing w:after="120"/>
      <w:ind w:firstLine="600"/>
    </w:pPr>
    <w:rPr>
      <w:rFonts w:ascii="Times New Roman" w:hAnsi="Times New Roman"/>
      <w:color w:val="000000"/>
      <w:sz w:val="26"/>
      <w:szCs w:val="26"/>
      <w:lang w:eastAsia="en-US"/>
    </w:rPr>
  </w:style>
  <w:style w:type="paragraph" w:styleId="ListParagraph">
    <w:name w:val="List Paragraph"/>
    <w:basedOn w:val="Normal"/>
    <w:uiPriority w:val="34"/>
    <w:qFormat/>
    <w:rsid w:val="00880BC7"/>
    <w:pPr>
      <w:ind w:left="720"/>
      <w:contextualSpacing/>
    </w:pPr>
  </w:style>
  <w:style w:type="paragraph" w:customStyle="1" w:styleId="Default">
    <w:name w:val="Default"/>
    <w:rsid w:val="00B46C6B"/>
    <w:pPr>
      <w:autoSpaceDE w:val="0"/>
      <w:autoSpaceDN w:val="0"/>
      <w:adjustRightInd w:val="0"/>
    </w:pPr>
    <w:rPr>
      <w:rFonts w:ascii="Arial" w:hAnsi="Arial" w:cs="Arial"/>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DE5"/>
    <w:rPr>
      <w:rFonts w:ascii="Arial" w:hAnsi="Arial"/>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134C0"/>
    <w:rPr>
      <w:rFonts w:ascii="Tahoma" w:hAnsi="Tahoma" w:cs="Tahoma"/>
      <w:sz w:val="16"/>
      <w:szCs w:val="16"/>
    </w:rPr>
  </w:style>
  <w:style w:type="character" w:styleId="Strong">
    <w:name w:val="Strong"/>
    <w:basedOn w:val="DefaultParagraphFont"/>
    <w:qFormat/>
    <w:rsid w:val="001D5DD5"/>
    <w:rPr>
      <w:b/>
      <w:bCs w:val="0"/>
    </w:rPr>
  </w:style>
  <w:style w:type="paragraph" w:customStyle="1" w:styleId="chapter-e">
    <w:name w:val="chapter-e"/>
    <w:basedOn w:val="Normal"/>
    <w:rsid w:val="0059347F"/>
    <w:pPr>
      <w:snapToGrid w:val="0"/>
      <w:spacing w:after="309" w:line="269" w:lineRule="atLeast"/>
      <w:jc w:val="center"/>
    </w:pPr>
    <w:rPr>
      <w:rFonts w:ascii="Times New Roman" w:hAnsi="Times New Roman"/>
      <w:caps/>
      <w:color w:val="000000"/>
      <w:sz w:val="26"/>
      <w:szCs w:val="26"/>
      <w:lang w:eastAsia="en-US"/>
    </w:rPr>
  </w:style>
  <w:style w:type="paragraph" w:customStyle="1" w:styleId="shorttitle-e">
    <w:name w:val="shorttitle-e"/>
    <w:basedOn w:val="Normal"/>
    <w:rsid w:val="0059347F"/>
    <w:pPr>
      <w:keepNext/>
      <w:snapToGrid w:val="0"/>
      <w:spacing w:after="578" w:line="270" w:lineRule="atLeast"/>
      <w:jc w:val="center"/>
    </w:pPr>
    <w:rPr>
      <w:rFonts w:ascii="Times New Roman" w:hAnsi="Times New Roman"/>
      <w:b/>
      <w:bCs/>
      <w:color w:val="000000"/>
      <w:sz w:val="26"/>
      <w:szCs w:val="26"/>
      <w:lang w:eastAsia="en-US"/>
    </w:rPr>
  </w:style>
  <w:style w:type="paragraph" w:customStyle="1" w:styleId="clause-e">
    <w:name w:val="clause-e"/>
    <w:basedOn w:val="Normal"/>
    <w:rsid w:val="0059347F"/>
    <w:pPr>
      <w:snapToGrid w:val="0"/>
      <w:spacing w:after="120"/>
      <w:ind w:left="1111" w:hanging="400"/>
    </w:pPr>
    <w:rPr>
      <w:rFonts w:ascii="Times New Roman" w:hAnsi="Times New Roman"/>
      <w:color w:val="000000"/>
      <w:sz w:val="26"/>
      <w:szCs w:val="26"/>
      <w:lang w:eastAsia="en-US"/>
    </w:rPr>
  </w:style>
  <w:style w:type="paragraph" w:customStyle="1" w:styleId="section-e">
    <w:name w:val="section-e"/>
    <w:basedOn w:val="Normal"/>
    <w:rsid w:val="0059347F"/>
    <w:pPr>
      <w:snapToGrid w:val="0"/>
      <w:spacing w:after="120"/>
      <w:ind w:firstLine="600"/>
    </w:pPr>
    <w:rPr>
      <w:rFonts w:ascii="Times New Roman" w:hAnsi="Times New Roman"/>
      <w:color w:val="000000"/>
      <w:sz w:val="26"/>
      <w:szCs w:val="26"/>
      <w:lang w:eastAsia="en-US"/>
    </w:rPr>
  </w:style>
  <w:style w:type="paragraph" w:styleId="ListParagraph">
    <w:name w:val="List Paragraph"/>
    <w:basedOn w:val="Normal"/>
    <w:uiPriority w:val="34"/>
    <w:qFormat/>
    <w:rsid w:val="00880BC7"/>
    <w:pPr>
      <w:ind w:left="720"/>
      <w:contextualSpacing/>
    </w:pPr>
  </w:style>
  <w:style w:type="paragraph" w:customStyle="1" w:styleId="Default">
    <w:name w:val="Default"/>
    <w:rsid w:val="00B46C6B"/>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7020">
      <w:bodyDiv w:val="1"/>
      <w:marLeft w:val="0"/>
      <w:marRight w:val="0"/>
      <w:marTop w:val="0"/>
      <w:marBottom w:val="0"/>
      <w:divBdr>
        <w:top w:val="none" w:sz="0" w:space="0" w:color="auto"/>
        <w:left w:val="none" w:sz="0" w:space="0" w:color="auto"/>
        <w:bottom w:val="none" w:sz="0" w:space="0" w:color="auto"/>
        <w:right w:val="none" w:sz="0" w:space="0" w:color="auto"/>
      </w:divBdr>
      <w:divsChild>
        <w:div w:id="1946766351">
          <w:marLeft w:val="0"/>
          <w:marRight w:val="0"/>
          <w:marTop w:val="0"/>
          <w:marBottom w:val="0"/>
          <w:divBdr>
            <w:top w:val="none" w:sz="0" w:space="0" w:color="auto"/>
            <w:left w:val="none" w:sz="0" w:space="0" w:color="auto"/>
            <w:bottom w:val="none" w:sz="0" w:space="0" w:color="auto"/>
            <w:right w:val="none" w:sz="0" w:space="0" w:color="auto"/>
          </w:divBdr>
          <w:divsChild>
            <w:div w:id="14643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80564">
      <w:bodyDiv w:val="1"/>
      <w:marLeft w:val="0"/>
      <w:marRight w:val="0"/>
      <w:marTop w:val="0"/>
      <w:marBottom w:val="0"/>
      <w:divBdr>
        <w:top w:val="none" w:sz="0" w:space="0" w:color="auto"/>
        <w:left w:val="none" w:sz="0" w:space="0" w:color="auto"/>
        <w:bottom w:val="none" w:sz="0" w:space="0" w:color="auto"/>
        <w:right w:val="none" w:sz="0" w:space="0" w:color="auto"/>
      </w:divBdr>
    </w:div>
    <w:div w:id="1527987826">
      <w:bodyDiv w:val="1"/>
      <w:marLeft w:val="0"/>
      <w:marRight w:val="0"/>
      <w:marTop w:val="0"/>
      <w:marBottom w:val="0"/>
      <w:divBdr>
        <w:top w:val="none" w:sz="0" w:space="0" w:color="auto"/>
        <w:left w:val="none" w:sz="0" w:space="0" w:color="auto"/>
        <w:bottom w:val="none" w:sz="0" w:space="0" w:color="auto"/>
        <w:right w:val="none" w:sz="0" w:space="0" w:color="auto"/>
      </w:divBdr>
      <w:divsChild>
        <w:div w:id="65543032">
          <w:marLeft w:val="0"/>
          <w:marRight w:val="0"/>
          <w:marTop w:val="0"/>
          <w:marBottom w:val="0"/>
          <w:divBdr>
            <w:top w:val="none" w:sz="0" w:space="0" w:color="auto"/>
            <w:left w:val="none" w:sz="0" w:space="0" w:color="auto"/>
            <w:bottom w:val="none" w:sz="0" w:space="0" w:color="auto"/>
            <w:right w:val="none" w:sz="0" w:space="0" w:color="auto"/>
          </w:divBdr>
          <w:divsChild>
            <w:div w:id="1192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THE CORPORATION OF THE TOWN OF</vt:lpstr>
    </vt:vector>
  </TitlesOfParts>
  <Company>Town of Penetanguishene</Company>
  <LinksUpToDate>false</LinksUpToDate>
  <CharactersWithSpaces>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CORPORATION OF THE TOWN OF</dc:title>
  <dc:creator>AProulx</dc:creator>
  <cp:lastModifiedBy>Angele Proulx</cp:lastModifiedBy>
  <cp:revision>2</cp:revision>
  <cp:lastPrinted>2010-02-16T17:17:00Z</cp:lastPrinted>
  <dcterms:created xsi:type="dcterms:W3CDTF">2018-11-20T15:29:00Z</dcterms:created>
  <dcterms:modified xsi:type="dcterms:W3CDTF">2018-11-20T15:29:00Z</dcterms:modified>
</cp:coreProperties>
</file>